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5214A" w:rsidRPr="0055214A" w:rsidRDefault="0055214A" w:rsidP="00BD7CCA">
      <w:pPr>
        <w:jc w:val="center"/>
        <w:rPr>
          <w:rFonts w:ascii="Times New Roman" w:hAnsi="Times New Roman" w:cs="Times New Roman"/>
          <w:b/>
          <w:bCs/>
          <w:sz w:val="24"/>
          <w:szCs w:val="24"/>
          <w:lang w:val="lv-LV"/>
        </w:rPr>
      </w:pPr>
      <w:r w:rsidRPr="0055214A">
        <w:rPr>
          <w:rFonts w:ascii="Times New Roman" w:hAnsi="Times New Roman" w:cs="Times New Roman"/>
          <w:b/>
          <w:bCs/>
          <w:sz w:val="24"/>
          <w:szCs w:val="24"/>
          <w:lang w:val="lv-LV"/>
        </w:rPr>
        <w:t>Jāzepa Vītola Latvijas Mūzikas akadēmijas rektora amata</w:t>
      </w:r>
    </w:p>
    <w:p w:rsidR="007F3124" w:rsidRPr="0055214A" w:rsidRDefault="0055214A" w:rsidP="0055214A">
      <w:pPr>
        <w:jc w:val="center"/>
        <w:rPr>
          <w:rFonts w:ascii="Times New Roman" w:hAnsi="Times New Roman" w:cs="Times New Roman"/>
          <w:b/>
          <w:bCs/>
          <w:sz w:val="24"/>
          <w:szCs w:val="24"/>
          <w:lang w:val="lv-LV"/>
        </w:rPr>
      </w:pPr>
      <w:r w:rsidRPr="0055214A">
        <w:rPr>
          <w:rFonts w:ascii="Times New Roman" w:hAnsi="Times New Roman" w:cs="Times New Roman"/>
          <w:b/>
          <w:bCs/>
          <w:sz w:val="24"/>
          <w:szCs w:val="24"/>
          <w:lang w:val="lv-LV"/>
        </w:rPr>
        <w:t>kandidāta pieteikuma anketa</w:t>
      </w:r>
    </w:p>
    <w:p w:rsidR="0055214A" w:rsidRPr="0055214A" w:rsidRDefault="0055214A" w:rsidP="0055214A">
      <w:pPr>
        <w:jc w:val="both"/>
        <w:rPr>
          <w:rFonts w:ascii="Times New Roman" w:hAnsi="Times New Roman" w:cs="Times New Roman"/>
          <w:b/>
          <w:bCs/>
          <w:sz w:val="24"/>
          <w:szCs w:val="24"/>
          <w:lang w:val="lv-LV"/>
        </w:rPr>
      </w:pPr>
    </w:p>
    <w:tbl>
      <w:tblPr>
        <w:tblStyle w:val="TableGrid"/>
        <w:tblW w:w="0" w:type="auto"/>
        <w:tblLook w:val="04A0" w:firstRow="1" w:lastRow="0" w:firstColumn="1" w:lastColumn="0" w:noHBand="0" w:noVBand="1"/>
      </w:tblPr>
      <w:tblGrid>
        <w:gridCol w:w="8630"/>
      </w:tblGrid>
      <w:tr w:rsidR="0055214A" w:rsidRPr="0055214A" w:rsidTr="0055214A">
        <w:trPr>
          <w:trHeight w:val="497"/>
        </w:trPr>
        <w:tc>
          <w:tcPr>
            <w:tcW w:w="8630" w:type="dxa"/>
          </w:tcPr>
          <w:p w:rsidR="0055214A" w:rsidRPr="0055214A" w:rsidRDefault="00392C47" w:rsidP="0055214A">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Romāns Vanags</w:t>
            </w:r>
          </w:p>
        </w:tc>
      </w:tr>
      <w:tr w:rsidR="006A79D4" w:rsidRPr="0055214A" w:rsidTr="00057814">
        <w:tc>
          <w:tcPr>
            <w:tcW w:w="8630" w:type="dxa"/>
          </w:tcPr>
          <w:p w:rsidR="006A79D4" w:rsidRPr="00ED1025" w:rsidRDefault="00ED1025" w:rsidP="00ED1025">
            <w:pPr>
              <w:pStyle w:val="BodyA"/>
              <w:spacing w:line="276" w:lineRule="auto"/>
              <w:jc w:val="both"/>
              <w:rPr>
                <w:lang w:val="lv-LV"/>
              </w:rPr>
            </w:pPr>
            <w:r w:rsidRPr="00ED1025">
              <w:rPr>
                <w:lang w:val="lv-LV"/>
              </w:rPr>
              <w:t>Lūdzu, aprakstiet Jūsu redzējumu par Jāzepa Vītola Latvijas Mūzikas akadēmijas stratēģiskajiem mērķiem, akadēmijas vietu un attīstības virzību Latvijas un Eiropas kontekstā, cilvēkresursu, finanšu resursu un infrastruktūras pārvaldības efektīvu struktūru, ņemot vērā spēkā esošo normatīvos aktu regulējumu un resursu pieejamību (teksta apjoms – ne vairāk kā 10000 rakstzīmes ar atstarpēm):</w:t>
            </w:r>
          </w:p>
          <w:p w:rsidR="00ED1025" w:rsidRDefault="00ED1025" w:rsidP="006A79D4">
            <w:pPr>
              <w:pStyle w:val="BodyA"/>
              <w:spacing w:line="276" w:lineRule="auto"/>
              <w:rPr>
                <w:rFonts w:ascii="Arial" w:eastAsia="Arial" w:hAnsi="Arial" w:cs="Arial"/>
                <w:i/>
                <w:iCs/>
                <w:sz w:val="20"/>
                <w:szCs w:val="20"/>
              </w:rPr>
            </w:pPr>
          </w:p>
          <w:p w:rsidR="006A79D4" w:rsidRPr="006A79D4" w:rsidRDefault="006A79D4" w:rsidP="006A79D4">
            <w:pPr>
              <w:pStyle w:val="BodyA"/>
              <w:spacing w:line="276" w:lineRule="auto"/>
              <w:jc w:val="both"/>
              <w:rPr>
                <w:b/>
                <w:bCs/>
                <w:sz w:val="22"/>
                <w:szCs w:val="22"/>
                <w:lang w:val="lv-LV"/>
              </w:rPr>
            </w:pPr>
            <w:r w:rsidRPr="006A79D4">
              <w:rPr>
                <w:b/>
                <w:bCs/>
                <w:sz w:val="22"/>
                <w:szCs w:val="22"/>
                <w:lang w:val="lv-LV"/>
              </w:rPr>
              <w:t>Jāzepa Vītola Latvijas Mūzikas akadēmijas (JVLMA) stratēģiskie mērķi un virzieni.</w:t>
            </w:r>
          </w:p>
          <w:p w:rsidR="006A79D4" w:rsidRPr="006A79D4" w:rsidRDefault="006A79D4" w:rsidP="006A79D4">
            <w:pPr>
              <w:pStyle w:val="BodyA"/>
              <w:numPr>
                <w:ilvl w:val="0"/>
                <w:numId w:val="1"/>
              </w:numPr>
              <w:spacing w:line="276" w:lineRule="auto"/>
              <w:jc w:val="both"/>
              <w:rPr>
                <w:sz w:val="22"/>
                <w:szCs w:val="22"/>
                <w:lang w:val="lv-LV"/>
              </w:rPr>
            </w:pPr>
            <w:r w:rsidRPr="006A79D4">
              <w:rPr>
                <w:sz w:val="22"/>
                <w:szCs w:val="22"/>
                <w:lang w:val="lv-LV"/>
              </w:rPr>
              <w:t xml:space="preserve">JVLMA ir starptautiski konkurētspējīga augstskola, kas aktīvi veido nacionāli atbildīgu un internacionāli pievilcīgu studiju vidi; </w:t>
            </w:r>
          </w:p>
          <w:p w:rsidR="006A79D4" w:rsidRPr="006A79D4" w:rsidRDefault="006A79D4" w:rsidP="006A79D4">
            <w:pPr>
              <w:pStyle w:val="BodyA"/>
              <w:numPr>
                <w:ilvl w:val="0"/>
                <w:numId w:val="1"/>
              </w:numPr>
              <w:spacing w:line="276" w:lineRule="auto"/>
              <w:jc w:val="both"/>
              <w:rPr>
                <w:sz w:val="22"/>
                <w:szCs w:val="22"/>
                <w:lang w:val="lv-LV"/>
              </w:rPr>
            </w:pPr>
            <w:r w:rsidRPr="006A79D4">
              <w:rPr>
                <w:sz w:val="22"/>
                <w:szCs w:val="22"/>
                <w:lang w:val="lv-LV"/>
              </w:rPr>
              <w:t>JVLMA izsvērti kopj savas tradīcijas un apzinās tai uzticētās vērtības, kas pasaules kontekstā ir unikālas, piedalās Dziesmu svētku kustības nepārtrauktības nodrošināšanā, sagatavojot augsta līmeņa kordiriģentus un mūzikas skolotājus, gatavo profesionāļus visiem Latvijas profesionālajiem mūzikas kolektīviem – dziedātājus, instrumentālistus, horeogrāfus;</w:t>
            </w:r>
          </w:p>
          <w:p w:rsidR="006A79D4" w:rsidRPr="006A79D4" w:rsidRDefault="006A79D4" w:rsidP="006A79D4">
            <w:pPr>
              <w:pStyle w:val="BodyA"/>
              <w:numPr>
                <w:ilvl w:val="0"/>
                <w:numId w:val="1"/>
              </w:numPr>
              <w:spacing w:line="276" w:lineRule="auto"/>
              <w:jc w:val="both"/>
              <w:rPr>
                <w:sz w:val="22"/>
                <w:szCs w:val="22"/>
                <w:lang w:val="lv-LV"/>
              </w:rPr>
            </w:pPr>
            <w:r w:rsidRPr="006A79D4">
              <w:rPr>
                <w:sz w:val="22"/>
                <w:szCs w:val="22"/>
                <w:lang w:val="lv-LV"/>
              </w:rPr>
              <w:t>JVLMA aktīvi strādā pie mūsdienīgi organizēta studiju procesa pilnveides, maksimāli ieviešot procesu digitalizāciju, veido un piedāvā jaunas programmas, sekojot līdzi starptautiskajām tendencēm un darba tirgus pieprasījumam;</w:t>
            </w:r>
          </w:p>
          <w:p w:rsidR="006A79D4" w:rsidRPr="006A79D4" w:rsidRDefault="006A79D4" w:rsidP="006A79D4">
            <w:pPr>
              <w:pStyle w:val="BodyA"/>
              <w:numPr>
                <w:ilvl w:val="0"/>
                <w:numId w:val="1"/>
              </w:numPr>
              <w:spacing w:line="276" w:lineRule="auto"/>
              <w:jc w:val="both"/>
              <w:rPr>
                <w:sz w:val="22"/>
                <w:szCs w:val="22"/>
                <w:lang w:val="lv-LV"/>
              </w:rPr>
            </w:pPr>
            <w:r w:rsidRPr="006A79D4">
              <w:rPr>
                <w:sz w:val="22"/>
                <w:szCs w:val="22"/>
                <w:lang w:val="lv-LV"/>
              </w:rPr>
              <w:t xml:space="preserve">JVLMA darbība balstīta radošajā procesā un zinātniskajā pētniecībā; </w:t>
            </w:r>
          </w:p>
          <w:p w:rsidR="006A79D4" w:rsidRPr="006A79D4" w:rsidRDefault="006A79D4" w:rsidP="006A79D4">
            <w:pPr>
              <w:pStyle w:val="BodyA"/>
              <w:numPr>
                <w:ilvl w:val="0"/>
                <w:numId w:val="1"/>
              </w:numPr>
              <w:spacing w:line="276" w:lineRule="auto"/>
              <w:jc w:val="both"/>
              <w:rPr>
                <w:sz w:val="22"/>
                <w:szCs w:val="22"/>
                <w:lang w:val="lv-LV"/>
              </w:rPr>
            </w:pPr>
            <w:r w:rsidRPr="006A79D4">
              <w:rPr>
                <w:sz w:val="22"/>
                <w:szCs w:val="22"/>
                <w:lang w:val="lv-LV"/>
              </w:rPr>
              <w:t xml:space="preserve">JVLMA veicina starptautisko mobilitāti – veicina studējošo un mācībspēku apmaiņu ar daudzām mūzikas izglītības partnerinstitūcijām, pieejama un atvērta plašai sabiedrībai, ir daudzpusīga, veicina dialogu ar sabiedrību, veicinot Latvijas kultūras dzīves uzplaukumu, tādējādi palīdzot visai mūsu sabiedrībai nacionālās pašapziņas un pašcieņas kopšanā; </w:t>
            </w:r>
          </w:p>
          <w:p w:rsidR="006A79D4" w:rsidRPr="006A79D4" w:rsidRDefault="006A79D4" w:rsidP="006A79D4">
            <w:pPr>
              <w:pStyle w:val="BodyA"/>
              <w:numPr>
                <w:ilvl w:val="0"/>
                <w:numId w:val="1"/>
              </w:numPr>
              <w:spacing w:line="276" w:lineRule="auto"/>
              <w:jc w:val="both"/>
              <w:rPr>
                <w:sz w:val="22"/>
                <w:szCs w:val="22"/>
                <w:lang w:val="lv-LV"/>
              </w:rPr>
            </w:pPr>
            <w:r w:rsidRPr="006A79D4">
              <w:rPr>
                <w:sz w:val="22"/>
                <w:szCs w:val="22"/>
                <w:lang w:val="lv-LV"/>
              </w:rPr>
              <w:t xml:space="preserve">JVLMA stimulē akadēmiskā personāla kvalifikācijas paaugstināšanu un atjaunošanos; </w:t>
            </w:r>
          </w:p>
          <w:p w:rsidR="006A79D4" w:rsidRPr="006A79D4" w:rsidRDefault="006A79D4" w:rsidP="006A79D4">
            <w:pPr>
              <w:pStyle w:val="BodyA"/>
              <w:numPr>
                <w:ilvl w:val="0"/>
                <w:numId w:val="1"/>
              </w:numPr>
              <w:spacing w:line="276" w:lineRule="auto"/>
              <w:jc w:val="both"/>
              <w:rPr>
                <w:sz w:val="22"/>
                <w:szCs w:val="22"/>
                <w:lang w:val="lv-LV"/>
              </w:rPr>
            </w:pPr>
            <w:r w:rsidRPr="006A79D4">
              <w:rPr>
                <w:sz w:val="22"/>
                <w:szCs w:val="22"/>
                <w:lang w:val="lv-LV"/>
              </w:rPr>
              <w:t>JVLMA nodrošina studentiem, maģistrantiem un doktorantiem starptautiska līmeņa studijas, veicina arī pieaugušo izglītības pieprasījumu un attīsta dažādas tālākizglītības iespējas.</w:t>
            </w:r>
          </w:p>
          <w:p w:rsidR="006A79D4" w:rsidRPr="006A79D4" w:rsidRDefault="006A79D4" w:rsidP="006A79D4">
            <w:pPr>
              <w:pStyle w:val="BodyA"/>
              <w:numPr>
                <w:ilvl w:val="0"/>
                <w:numId w:val="1"/>
              </w:numPr>
              <w:spacing w:line="276" w:lineRule="auto"/>
              <w:jc w:val="both"/>
              <w:rPr>
                <w:sz w:val="22"/>
                <w:szCs w:val="22"/>
                <w:lang w:val="lv-LV"/>
              </w:rPr>
            </w:pPr>
            <w:r w:rsidRPr="006A79D4">
              <w:rPr>
                <w:sz w:val="22"/>
                <w:szCs w:val="22"/>
                <w:lang w:val="lv-LV"/>
              </w:rPr>
              <w:t xml:space="preserve">JVLMA nodrošina studentiem, akadēmiskajam personālam un darbiniekiem drošu darba sociālo vidi, nepieļaujot savstarpējas cieņas un goda aizskārumu.  </w:t>
            </w:r>
          </w:p>
          <w:p w:rsidR="006A79D4" w:rsidRPr="006A79D4" w:rsidRDefault="006A79D4" w:rsidP="006A79D4">
            <w:pPr>
              <w:pStyle w:val="BodyA"/>
              <w:spacing w:line="276" w:lineRule="auto"/>
              <w:ind w:left="720"/>
              <w:jc w:val="both"/>
              <w:rPr>
                <w:sz w:val="22"/>
                <w:szCs w:val="22"/>
                <w:lang w:val="lv-LV"/>
              </w:rPr>
            </w:pPr>
          </w:p>
          <w:p w:rsidR="006A79D4" w:rsidRPr="006A79D4" w:rsidRDefault="006A79D4" w:rsidP="006A79D4">
            <w:pPr>
              <w:pStyle w:val="BodyA"/>
              <w:spacing w:line="276" w:lineRule="auto"/>
              <w:jc w:val="both"/>
              <w:rPr>
                <w:b/>
                <w:bCs/>
                <w:sz w:val="22"/>
                <w:szCs w:val="22"/>
                <w:lang w:val="lv-LV"/>
              </w:rPr>
            </w:pPr>
            <w:r w:rsidRPr="006A79D4">
              <w:rPr>
                <w:b/>
                <w:bCs/>
                <w:sz w:val="22"/>
                <w:szCs w:val="22"/>
                <w:lang w:val="lv-LV"/>
              </w:rPr>
              <w:t>Aktuālie darbi, kas veicami, lai sniegtu augstāk minētos mērķus.</w:t>
            </w:r>
          </w:p>
          <w:p w:rsidR="006A79D4" w:rsidRPr="006A79D4" w:rsidRDefault="006A79D4" w:rsidP="006A79D4">
            <w:pPr>
              <w:pStyle w:val="BodyA"/>
              <w:numPr>
                <w:ilvl w:val="0"/>
                <w:numId w:val="2"/>
              </w:numPr>
              <w:spacing w:line="276" w:lineRule="auto"/>
              <w:jc w:val="both"/>
              <w:rPr>
                <w:sz w:val="22"/>
                <w:szCs w:val="22"/>
                <w:lang w:val="lv-LV"/>
              </w:rPr>
            </w:pPr>
            <w:r w:rsidRPr="006A79D4">
              <w:rPr>
                <w:sz w:val="22"/>
                <w:szCs w:val="22"/>
                <w:lang w:val="lv-LV"/>
              </w:rPr>
              <w:t xml:space="preserve">Vienotas atalgojuma sistēmas izveidošana, kas ir motivējoša jebkuram JVLMA darbiniekam; </w:t>
            </w:r>
          </w:p>
          <w:p w:rsidR="006A79D4" w:rsidRPr="006A79D4" w:rsidRDefault="006A79D4" w:rsidP="006A79D4">
            <w:pPr>
              <w:pStyle w:val="BodyA"/>
              <w:numPr>
                <w:ilvl w:val="0"/>
                <w:numId w:val="2"/>
              </w:numPr>
              <w:spacing w:line="276" w:lineRule="auto"/>
              <w:jc w:val="both"/>
              <w:rPr>
                <w:sz w:val="22"/>
                <w:szCs w:val="22"/>
                <w:lang w:val="lv-LV"/>
              </w:rPr>
            </w:pPr>
            <w:r w:rsidRPr="006A79D4">
              <w:rPr>
                <w:sz w:val="22"/>
                <w:szCs w:val="22"/>
                <w:lang w:val="lv-LV"/>
              </w:rPr>
              <w:t>Aktīva komunikācija ar Kultūras ministriju, Izglītības ministriju un Saeimas atbildīgo komisiju stratēģisko mērķu skaidrošanā un to īstenošanā;</w:t>
            </w:r>
          </w:p>
          <w:p w:rsidR="006A79D4" w:rsidRPr="006A79D4" w:rsidRDefault="006A79D4" w:rsidP="006A79D4">
            <w:pPr>
              <w:pStyle w:val="BodyA"/>
              <w:numPr>
                <w:ilvl w:val="0"/>
                <w:numId w:val="2"/>
              </w:numPr>
              <w:spacing w:line="276" w:lineRule="auto"/>
              <w:jc w:val="both"/>
              <w:rPr>
                <w:sz w:val="22"/>
                <w:szCs w:val="22"/>
                <w:lang w:val="lv-LV"/>
              </w:rPr>
            </w:pPr>
            <w:r w:rsidRPr="006A79D4">
              <w:rPr>
                <w:sz w:val="22"/>
                <w:szCs w:val="22"/>
                <w:lang w:val="lv-LV"/>
              </w:rPr>
              <w:lastRenderedPageBreak/>
              <w:t>Vienas studiju vietas koeficienta paaugstināšana līdz 6, atbilstoši reālajām izmaksām, lai nodrošinātu kvalitātes prasības augstākajā izglītībā atbilstoši ESG 2015 standartiem jākļūst par vienu no svarīgākajām prioritātēm stratēģisko mērķu sasniegšanai;</w:t>
            </w:r>
          </w:p>
          <w:p w:rsidR="006A79D4" w:rsidRPr="006A79D4" w:rsidRDefault="006A79D4" w:rsidP="006A79D4">
            <w:pPr>
              <w:pStyle w:val="BodyA"/>
              <w:numPr>
                <w:ilvl w:val="0"/>
                <w:numId w:val="2"/>
              </w:numPr>
              <w:spacing w:line="276" w:lineRule="auto"/>
              <w:jc w:val="both"/>
              <w:rPr>
                <w:sz w:val="22"/>
                <w:szCs w:val="22"/>
                <w:lang w:val="lv-LV"/>
              </w:rPr>
            </w:pPr>
            <w:r w:rsidRPr="006A79D4">
              <w:rPr>
                <w:sz w:val="22"/>
                <w:szCs w:val="22"/>
                <w:lang w:val="lv-LV"/>
              </w:rPr>
              <w:t>Sadarbība ar LMA un LKA jaunu pedagoģijas programmu ieviešanā un profesionālās doktorantūras programmas īstenošanā;</w:t>
            </w:r>
          </w:p>
          <w:p w:rsidR="006A79D4" w:rsidRPr="006A79D4" w:rsidRDefault="006A79D4" w:rsidP="006A79D4">
            <w:pPr>
              <w:pStyle w:val="BodyA"/>
              <w:numPr>
                <w:ilvl w:val="0"/>
                <w:numId w:val="2"/>
              </w:numPr>
              <w:spacing w:line="276" w:lineRule="auto"/>
              <w:jc w:val="both"/>
              <w:rPr>
                <w:sz w:val="22"/>
                <w:szCs w:val="22"/>
                <w:lang w:val="lv-LV"/>
              </w:rPr>
            </w:pPr>
            <w:r w:rsidRPr="006A79D4">
              <w:rPr>
                <w:sz w:val="22"/>
                <w:szCs w:val="22"/>
                <w:lang w:val="lv-LV"/>
              </w:rPr>
              <w:t>ES projektu līdzekļu piesaiste;</w:t>
            </w:r>
          </w:p>
          <w:p w:rsidR="006A79D4" w:rsidRPr="006A79D4" w:rsidRDefault="006A79D4" w:rsidP="006A79D4">
            <w:pPr>
              <w:pStyle w:val="BodyA"/>
              <w:numPr>
                <w:ilvl w:val="0"/>
                <w:numId w:val="2"/>
              </w:numPr>
              <w:spacing w:line="276" w:lineRule="auto"/>
              <w:jc w:val="both"/>
              <w:rPr>
                <w:sz w:val="22"/>
                <w:szCs w:val="22"/>
                <w:lang w:val="lv-LV"/>
              </w:rPr>
            </w:pPr>
            <w:r w:rsidRPr="006A79D4">
              <w:rPr>
                <w:sz w:val="22"/>
                <w:szCs w:val="22"/>
                <w:lang w:val="lv-LV"/>
              </w:rPr>
              <w:t>Aktīva docētāju un studējošo iesaiste ERASMUS+ programmās;</w:t>
            </w:r>
          </w:p>
          <w:p w:rsidR="006A79D4" w:rsidRPr="006A79D4" w:rsidRDefault="006A79D4" w:rsidP="006A79D4">
            <w:pPr>
              <w:pStyle w:val="BodyA"/>
              <w:numPr>
                <w:ilvl w:val="0"/>
                <w:numId w:val="2"/>
              </w:numPr>
              <w:spacing w:line="276" w:lineRule="auto"/>
              <w:jc w:val="both"/>
              <w:rPr>
                <w:sz w:val="22"/>
                <w:szCs w:val="22"/>
                <w:lang w:val="lv-LV"/>
              </w:rPr>
            </w:pPr>
            <w:r w:rsidRPr="006A79D4">
              <w:rPr>
                <w:sz w:val="22"/>
                <w:szCs w:val="22"/>
                <w:lang w:val="lv-LV"/>
              </w:rPr>
              <w:t xml:space="preserve">JVLMA digitalizēšana – LAIS sistēma, E-studijas, Resursu rīks, dažādas infrastruktūras tehnoloģijas.  </w:t>
            </w:r>
          </w:p>
          <w:p w:rsidR="006A79D4" w:rsidRPr="006A79D4" w:rsidRDefault="006A79D4" w:rsidP="006A79D4">
            <w:pPr>
              <w:pStyle w:val="BodyA"/>
              <w:numPr>
                <w:ilvl w:val="0"/>
                <w:numId w:val="2"/>
              </w:numPr>
              <w:spacing w:line="276" w:lineRule="auto"/>
              <w:jc w:val="both"/>
              <w:rPr>
                <w:sz w:val="22"/>
                <w:szCs w:val="22"/>
                <w:lang w:val="lv-LV"/>
              </w:rPr>
            </w:pPr>
            <w:r w:rsidRPr="006A79D4">
              <w:rPr>
                <w:sz w:val="22"/>
                <w:szCs w:val="22"/>
                <w:lang w:val="lv-LV"/>
              </w:rPr>
              <w:t>Docētāju un studējošo atbalsta sistēmas pilnveide – līderības kursi, valodu kursi, psiholoģiskā atbalsta kursi, IT kursi;</w:t>
            </w:r>
          </w:p>
          <w:p w:rsidR="006A79D4" w:rsidRPr="006A79D4" w:rsidRDefault="006A79D4" w:rsidP="006A79D4">
            <w:pPr>
              <w:pStyle w:val="BodyA"/>
              <w:numPr>
                <w:ilvl w:val="0"/>
                <w:numId w:val="2"/>
              </w:numPr>
              <w:spacing w:line="276" w:lineRule="auto"/>
              <w:jc w:val="both"/>
              <w:rPr>
                <w:sz w:val="22"/>
                <w:szCs w:val="22"/>
                <w:lang w:val="lv-LV"/>
              </w:rPr>
            </w:pPr>
            <w:r w:rsidRPr="006A79D4">
              <w:rPr>
                <w:sz w:val="22"/>
                <w:szCs w:val="22"/>
                <w:lang w:val="lv-LV"/>
              </w:rPr>
              <w:t>Ciešāka un savstarpēji motivējoša sadarbība ar profesionālās ievirzes mūzikas skolām un profesionālajām vidējās izglītības mūzikas mācību iestādēm;</w:t>
            </w:r>
          </w:p>
          <w:p w:rsidR="006A79D4" w:rsidRPr="006A79D4" w:rsidRDefault="006A79D4" w:rsidP="006A79D4">
            <w:pPr>
              <w:pStyle w:val="BodyA"/>
              <w:numPr>
                <w:ilvl w:val="0"/>
                <w:numId w:val="2"/>
              </w:numPr>
              <w:spacing w:line="276" w:lineRule="auto"/>
              <w:jc w:val="both"/>
              <w:rPr>
                <w:sz w:val="22"/>
                <w:szCs w:val="22"/>
                <w:lang w:val="lv-LV"/>
              </w:rPr>
            </w:pPr>
            <w:r w:rsidRPr="006A79D4">
              <w:rPr>
                <w:sz w:val="22"/>
                <w:szCs w:val="22"/>
                <w:lang w:val="lv-LV"/>
              </w:rPr>
              <w:t>Aktīva līdzekļu piesaiste, piedaloties valsts un pašvaldības izsludinātos radošo projektu konkursos;</w:t>
            </w:r>
          </w:p>
          <w:p w:rsidR="006A79D4" w:rsidRPr="006A79D4" w:rsidRDefault="006A79D4" w:rsidP="006A79D4">
            <w:pPr>
              <w:pStyle w:val="BodyA"/>
              <w:numPr>
                <w:ilvl w:val="0"/>
                <w:numId w:val="2"/>
              </w:numPr>
              <w:spacing w:line="276" w:lineRule="auto"/>
              <w:jc w:val="both"/>
              <w:rPr>
                <w:sz w:val="22"/>
                <w:szCs w:val="22"/>
                <w:lang w:val="lv-LV"/>
              </w:rPr>
            </w:pPr>
            <w:r w:rsidRPr="006A79D4">
              <w:rPr>
                <w:sz w:val="22"/>
                <w:szCs w:val="22"/>
                <w:lang w:val="lv-LV"/>
              </w:rPr>
              <w:t>Jāturpina cieša sadarbība ar mecenātiem – Latvijas Finieris, LMT. Jāaktivizē jaunu mecenātu un atbalstītāju piesaiste īpaši nozīmīgiem projektiem, kas netiek pilnībā finansēti no valsts budžeta;</w:t>
            </w:r>
          </w:p>
          <w:p w:rsidR="006A79D4" w:rsidRPr="006A79D4" w:rsidRDefault="006A79D4" w:rsidP="006A79D4">
            <w:pPr>
              <w:pStyle w:val="BodyA"/>
              <w:numPr>
                <w:ilvl w:val="0"/>
                <w:numId w:val="2"/>
              </w:numPr>
              <w:spacing w:line="276" w:lineRule="auto"/>
              <w:jc w:val="both"/>
              <w:rPr>
                <w:sz w:val="22"/>
                <w:szCs w:val="22"/>
                <w:lang w:val="lv-LV"/>
              </w:rPr>
            </w:pPr>
            <w:r w:rsidRPr="006A79D4">
              <w:rPr>
                <w:sz w:val="22"/>
                <w:szCs w:val="22"/>
                <w:lang w:val="lv-LV"/>
              </w:rPr>
              <w:t>Jāaktivizē JVLMA padomnieku konvents, tajā iesaistot sabiedrībā pazīstamus kultūras mecenātus, uzņēmējus, sabiedriskus darbiniekus, panāktu atvērtāku informatīvo telpu, kas dotu plašāku skaidrojumu sabiedrībai par akadēmijas stratēģiskajiem mērķiem, to realizēšanas iespējām.</w:t>
            </w:r>
          </w:p>
          <w:p w:rsidR="006A79D4" w:rsidRPr="006A79D4" w:rsidRDefault="006A79D4" w:rsidP="006A79D4">
            <w:pPr>
              <w:pStyle w:val="BodyA"/>
              <w:spacing w:line="276" w:lineRule="auto"/>
              <w:ind w:left="720"/>
              <w:jc w:val="both"/>
              <w:rPr>
                <w:b/>
                <w:bCs/>
                <w:sz w:val="22"/>
                <w:szCs w:val="22"/>
                <w:lang w:val="lv-LV"/>
              </w:rPr>
            </w:pPr>
          </w:p>
          <w:p w:rsidR="006A79D4" w:rsidRPr="006A79D4" w:rsidRDefault="006A79D4" w:rsidP="006A79D4">
            <w:pPr>
              <w:pStyle w:val="BodyA"/>
              <w:spacing w:line="276" w:lineRule="auto"/>
              <w:jc w:val="both"/>
              <w:rPr>
                <w:sz w:val="22"/>
                <w:szCs w:val="22"/>
                <w:lang w:val="lv-LV"/>
              </w:rPr>
            </w:pPr>
          </w:p>
          <w:p w:rsidR="006A79D4" w:rsidRPr="006A79D4" w:rsidRDefault="006A79D4" w:rsidP="006A79D4">
            <w:pPr>
              <w:pStyle w:val="Body"/>
              <w:jc w:val="both"/>
              <w:rPr>
                <w:rFonts w:ascii="Arial" w:eastAsia="Arial" w:hAnsi="Arial" w:cs="Arial"/>
                <w:i/>
                <w:iCs/>
                <w:sz w:val="20"/>
                <w:szCs w:val="20"/>
                <w:lang w:val="lv-LV"/>
              </w:rPr>
            </w:pPr>
          </w:p>
          <w:p w:rsidR="006A79D4" w:rsidRPr="006A79D4" w:rsidRDefault="006A79D4" w:rsidP="006A79D4">
            <w:pPr>
              <w:pStyle w:val="Body"/>
              <w:jc w:val="both"/>
              <w:rPr>
                <w:rFonts w:ascii="Arial" w:eastAsia="Arial" w:hAnsi="Arial" w:cs="Arial"/>
                <w:i/>
                <w:iCs/>
                <w:sz w:val="20"/>
                <w:szCs w:val="20"/>
                <w:lang w:val="lv-LV"/>
              </w:rPr>
            </w:pPr>
          </w:p>
          <w:p w:rsidR="006A79D4" w:rsidRPr="006A79D4" w:rsidRDefault="006A79D4" w:rsidP="006A79D4">
            <w:pPr>
              <w:pStyle w:val="Body"/>
              <w:jc w:val="both"/>
              <w:rPr>
                <w:rFonts w:ascii="Arial" w:eastAsia="Arial" w:hAnsi="Arial" w:cs="Arial"/>
                <w:i/>
                <w:iCs/>
                <w:sz w:val="20"/>
                <w:szCs w:val="20"/>
                <w:lang w:val="lv-LV"/>
              </w:rPr>
            </w:pPr>
          </w:p>
          <w:p w:rsidR="006A79D4" w:rsidRPr="006A79D4" w:rsidRDefault="006A79D4" w:rsidP="006A79D4">
            <w:pPr>
              <w:pStyle w:val="Body"/>
              <w:jc w:val="both"/>
              <w:rPr>
                <w:rFonts w:ascii="Arial" w:eastAsia="Arial" w:hAnsi="Arial" w:cs="Arial"/>
                <w:i/>
                <w:iCs/>
                <w:sz w:val="20"/>
                <w:szCs w:val="20"/>
                <w:lang w:val="lv-LV"/>
              </w:rPr>
            </w:pPr>
          </w:p>
          <w:p w:rsidR="006A79D4" w:rsidRPr="006A79D4" w:rsidRDefault="006A79D4" w:rsidP="006A79D4">
            <w:pPr>
              <w:pStyle w:val="Body"/>
              <w:jc w:val="both"/>
              <w:rPr>
                <w:rFonts w:ascii="Arial" w:eastAsia="Arial" w:hAnsi="Arial" w:cs="Arial"/>
                <w:i/>
                <w:iCs/>
                <w:sz w:val="20"/>
                <w:szCs w:val="20"/>
                <w:lang w:val="lv-LV"/>
              </w:rPr>
            </w:pPr>
          </w:p>
          <w:p w:rsidR="006A79D4" w:rsidRDefault="006A79D4" w:rsidP="006A79D4">
            <w:pPr>
              <w:pStyle w:val="Body"/>
              <w:jc w:val="both"/>
            </w:pPr>
          </w:p>
        </w:tc>
      </w:tr>
    </w:tbl>
    <w:p w:rsidR="0055214A" w:rsidRDefault="0055214A" w:rsidP="0055214A">
      <w:pPr>
        <w:jc w:val="both"/>
        <w:rPr>
          <w:rFonts w:ascii="Times New Roman" w:hAnsi="Times New Roman" w:cs="Times New Roman"/>
          <w:sz w:val="24"/>
          <w:szCs w:val="24"/>
          <w:lang w:val="lv-LV"/>
        </w:rPr>
      </w:pPr>
    </w:p>
    <w:p w:rsidR="004255A2" w:rsidRDefault="004255A2" w:rsidP="0055214A">
      <w:pPr>
        <w:jc w:val="both"/>
        <w:rPr>
          <w:rFonts w:ascii="Times New Roman" w:hAnsi="Times New Roman" w:cs="Times New Roman"/>
          <w:sz w:val="24"/>
          <w:szCs w:val="24"/>
          <w:lang w:val="lv-LV"/>
        </w:rPr>
      </w:pPr>
    </w:p>
    <w:p w:rsidR="004255A2" w:rsidRPr="004255A2" w:rsidRDefault="004255A2" w:rsidP="0055214A">
      <w:pPr>
        <w:jc w:val="both"/>
        <w:rPr>
          <w:rFonts w:ascii="Times New Roman" w:hAnsi="Times New Roman" w:cs="Times New Roman"/>
          <w:sz w:val="24"/>
          <w:szCs w:val="24"/>
        </w:rPr>
      </w:pPr>
      <w:r w:rsidRPr="004255A2">
        <w:rPr>
          <w:rFonts w:ascii="Times New Roman" w:hAnsi="Times New Roman" w:cs="Times New Roman"/>
          <w:sz w:val="24"/>
          <w:szCs w:val="24"/>
        </w:rPr>
        <w:t xml:space="preserve">2024.gada </w:t>
      </w:r>
      <w:proofErr w:type="gramStart"/>
      <w:r w:rsidRPr="004255A2">
        <w:rPr>
          <w:rFonts w:ascii="Times New Roman" w:hAnsi="Times New Roman" w:cs="Times New Roman"/>
          <w:sz w:val="24"/>
          <w:szCs w:val="24"/>
        </w:rPr>
        <w:t>2</w:t>
      </w:r>
      <w:r w:rsidR="001A06F8">
        <w:rPr>
          <w:rFonts w:ascii="Times New Roman" w:hAnsi="Times New Roman" w:cs="Times New Roman"/>
          <w:sz w:val="24"/>
          <w:szCs w:val="24"/>
        </w:rPr>
        <w:t>7</w:t>
      </w:r>
      <w:r w:rsidRPr="004255A2">
        <w:rPr>
          <w:rFonts w:ascii="Times New Roman" w:hAnsi="Times New Roman" w:cs="Times New Roman"/>
          <w:sz w:val="24"/>
          <w:szCs w:val="24"/>
        </w:rPr>
        <w:t>.</w:t>
      </w:r>
      <w:r w:rsidR="001A06F8">
        <w:rPr>
          <w:rFonts w:ascii="Times New Roman" w:hAnsi="Times New Roman" w:cs="Times New Roman"/>
          <w:sz w:val="24"/>
          <w:szCs w:val="24"/>
        </w:rPr>
        <w:t>maijā</w:t>
      </w:r>
      <w:proofErr w:type="gramEnd"/>
      <w:r w:rsidRPr="004255A2">
        <w:rPr>
          <w:rFonts w:ascii="Times New Roman" w:hAnsi="Times New Roman" w:cs="Times New Roman"/>
          <w:sz w:val="24"/>
          <w:szCs w:val="24"/>
        </w:rPr>
        <w:t xml:space="preserve">                                                                                          </w:t>
      </w:r>
      <w:r w:rsidR="001A06F8">
        <w:rPr>
          <w:rFonts w:ascii="Times New Roman" w:hAnsi="Times New Roman" w:cs="Times New Roman"/>
          <w:sz w:val="24"/>
          <w:szCs w:val="24"/>
        </w:rPr>
        <w:t>Romāns Vanags</w:t>
      </w:r>
    </w:p>
    <w:p w:rsidR="004255A2" w:rsidRPr="004255A2" w:rsidRDefault="004255A2" w:rsidP="0055214A">
      <w:pPr>
        <w:jc w:val="both"/>
        <w:rPr>
          <w:rFonts w:ascii="Times New Roman" w:hAnsi="Times New Roman" w:cs="Times New Roman"/>
          <w:sz w:val="24"/>
          <w:szCs w:val="24"/>
          <w:lang w:val="lv-LV"/>
        </w:rPr>
      </w:pPr>
      <w:r w:rsidRPr="004255A2">
        <w:rPr>
          <w:rFonts w:ascii="Times New Roman" w:hAnsi="Times New Roman" w:cs="Times New Roman"/>
          <w:sz w:val="24"/>
          <w:szCs w:val="24"/>
        </w:rPr>
        <w:t xml:space="preserve">                                                                                                                               (</w:t>
      </w:r>
      <w:proofErr w:type="spellStart"/>
      <w:r w:rsidRPr="004255A2">
        <w:rPr>
          <w:rFonts w:ascii="Times New Roman" w:hAnsi="Times New Roman" w:cs="Times New Roman"/>
          <w:sz w:val="24"/>
          <w:szCs w:val="24"/>
        </w:rPr>
        <w:t>paraksts</w:t>
      </w:r>
      <w:proofErr w:type="spellEnd"/>
      <w:r w:rsidRPr="004255A2">
        <w:rPr>
          <w:rFonts w:ascii="Times New Roman" w:hAnsi="Times New Roman" w:cs="Times New Roman"/>
          <w:sz w:val="24"/>
          <w:szCs w:val="24"/>
        </w:rPr>
        <w:t>)</w:t>
      </w:r>
    </w:p>
    <w:sectPr w:rsidR="004255A2" w:rsidRPr="004255A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8354C"/>
    <w:multiLevelType w:val="hybridMultilevel"/>
    <w:tmpl w:val="AFAE32E4"/>
    <w:lvl w:ilvl="0" w:tplc="BB32F394">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96277C8">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2F01584">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D6E1A38">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4808FC0">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5366BC6">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74A82B0">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84A8224">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21249C2">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662602C"/>
    <w:multiLevelType w:val="hybridMultilevel"/>
    <w:tmpl w:val="80000DDC"/>
    <w:lvl w:ilvl="0" w:tplc="1D3AB638">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83CAE00">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4A46AE2">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8D2F930">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DEC751C">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7C6C57A">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6622BCEE">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EECB50">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3C069D4">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197888392">
    <w:abstractNumId w:val="0"/>
  </w:num>
  <w:num w:numId="2" w16cid:durableId="997418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14A"/>
    <w:rsid w:val="001A06F8"/>
    <w:rsid w:val="002D04A5"/>
    <w:rsid w:val="00392C47"/>
    <w:rsid w:val="004255A2"/>
    <w:rsid w:val="0055214A"/>
    <w:rsid w:val="00586F90"/>
    <w:rsid w:val="006A79D4"/>
    <w:rsid w:val="006E1D63"/>
    <w:rsid w:val="007F3124"/>
    <w:rsid w:val="00BD7CCA"/>
    <w:rsid w:val="00C6571C"/>
    <w:rsid w:val="00C951ED"/>
    <w:rsid w:val="00E94F9B"/>
    <w:rsid w:val="00ED1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DDE7F"/>
  <w15:chartTrackingRefBased/>
  <w15:docId w15:val="{9656F067-A274-4BD7-B7F7-D6A199CD6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2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DefaultParagraphFont"/>
    <w:rsid w:val="00392C47"/>
    <w:rPr>
      <w:outline w:val="0"/>
      <w:color w:val="0000FF"/>
      <w:u w:val="single" w:color="0000FF"/>
    </w:rPr>
  </w:style>
  <w:style w:type="paragraph" w:customStyle="1" w:styleId="Body">
    <w:name w:val="Body"/>
    <w:rsid w:val="006A79D4"/>
    <w:pPr>
      <w:pBdr>
        <w:top w:val="nil"/>
        <w:left w:val="nil"/>
        <w:bottom w:val="nil"/>
        <w:right w:val="nil"/>
        <w:between w:val="nil"/>
        <w:bar w:val="nil"/>
      </w:pBdr>
    </w:pPr>
    <w:rPr>
      <w:rFonts w:ascii="Cambria" w:eastAsia="Arial Unicode MS" w:hAnsi="Cambria" w:cs="Arial Unicode MS"/>
      <w:color w:val="000000"/>
      <w:kern w:val="0"/>
      <w:u w:color="000000"/>
      <w:bdr w:val="nil"/>
      <w14:textOutline w14:w="0" w14:cap="flat" w14:cmpd="sng" w14:algn="ctr">
        <w14:noFill/>
        <w14:prstDash w14:val="solid"/>
        <w14:bevel/>
      </w14:textOutline>
      <w14:ligatures w14:val="none"/>
    </w:rPr>
  </w:style>
  <w:style w:type="paragraph" w:customStyle="1" w:styleId="BodyA">
    <w:name w:val="Body A"/>
    <w:rsid w:val="006A79D4"/>
    <w:pPr>
      <w:pBdr>
        <w:top w:val="nil"/>
        <w:left w:val="nil"/>
        <w:bottom w:val="nil"/>
        <w:right w:val="nil"/>
        <w:between w:val="nil"/>
        <w:bar w:val="nil"/>
      </w:pBdr>
    </w:pPr>
    <w:rPr>
      <w:rFonts w:ascii="Times New Roman" w:eastAsia="Times New Roman" w:hAnsi="Times New Roman" w:cs="Times New Roman"/>
      <w:color w:val="000000"/>
      <w:kern w:val="0"/>
      <w:sz w:val="24"/>
      <w:szCs w:val="24"/>
      <w:u w:color="000000"/>
      <w:bdr w:val="nil"/>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Cīrule</dc:creator>
  <cp:keywords/>
  <dc:description/>
  <cp:lastModifiedBy>Anete Cīrule</cp:lastModifiedBy>
  <cp:revision>11</cp:revision>
  <dcterms:created xsi:type="dcterms:W3CDTF">2024-06-07T07:31:00Z</dcterms:created>
  <dcterms:modified xsi:type="dcterms:W3CDTF">2024-06-07T09:21:00Z</dcterms:modified>
</cp:coreProperties>
</file>